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3CEB"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РАСПОРЯЖЕНИЕ</w:t>
      </w:r>
    </w:p>
    <w:p w14:paraId="4C96E441"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от 26 июля 2022 г. N 243-рг</w:t>
      </w:r>
    </w:p>
    <w:p w14:paraId="53BF6622" w14:textId="77777777" w:rsidR="003E3EE4" w:rsidRPr="003E3EE4" w:rsidRDefault="003E3EE4" w:rsidP="003E3EE4">
      <w:pPr>
        <w:pStyle w:val="ConsPlusTitle"/>
        <w:jc w:val="center"/>
        <w:rPr>
          <w:rFonts w:ascii="Times New Roman" w:hAnsi="Times New Roman" w:cs="Times New Roman"/>
          <w:sz w:val="28"/>
          <w:szCs w:val="28"/>
        </w:rPr>
      </w:pPr>
    </w:p>
    <w:p w14:paraId="70BDFBFE"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О ВЗАИМОДЕЙСТВИИ ОРГАНОВ ИСПОЛНИТЕЛЬНОЙ ВЛАСТИ</w:t>
      </w:r>
    </w:p>
    <w:p w14:paraId="437930B7"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НОВГОРОДСКОЙ ОБЛАСТИ И ОРГАНОВ МЕСТНОГО САМОУПРАВЛЕНИЯ</w:t>
      </w:r>
    </w:p>
    <w:p w14:paraId="1B4EB69F"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НОВГОРОДСКОЙ ОБЛАСТИ ПРИ ФОРМИРОВАНИИ И ВЕДЕНИИ</w:t>
      </w:r>
    </w:p>
    <w:p w14:paraId="35C0B8F2" w14:textId="77777777" w:rsidR="003E3EE4" w:rsidRPr="003E3EE4" w:rsidRDefault="003E3EE4" w:rsidP="003E3EE4">
      <w:pPr>
        <w:pStyle w:val="ConsPlusTitle"/>
        <w:jc w:val="center"/>
        <w:rPr>
          <w:rFonts w:ascii="Times New Roman" w:hAnsi="Times New Roman" w:cs="Times New Roman"/>
          <w:sz w:val="28"/>
          <w:szCs w:val="28"/>
        </w:rPr>
      </w:pPr>
      <w:proofErr w:type="gramStart"/>
      <w:r w:rsidRPr="003E3EE4">
        <w:rPr>
          <w:rFonts w:ascii="Times New Roman" w:hAnsi="Times New Roman" w:cs="Times New Roman"/>
          <w:sz w:val="28"/>
          <w:szCs w:val="28"/>
        </w:rPr>
        <w:t>РЕЕСТРОВ</w:t>
      </w:r>
      <w:proofErr w:type="gramEnd"/>
      <w:r w:rsidRPr="003E3EE4">
        <w:rPr>
          <w:rFonts w:ascii="Times New Roman" w:hAnsi="Times New Roman" w:cs="Times New Roman"/>
          <w:sz w:val="28"/>
          <w:szCs w:val="28"/>
        </w:rPr>
        <w:t xml:space="preserve"> СОЦИАЛЬНО ОРИЕНТИРОВАННЫХ НЕКОММЕРЧЕСКИХ</w:t>
      </w:r>
    </w:p>
    <w:p w14:paraId="3D83E4D2"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ОРГАНИЗАЦИЙ - ПОЛУЧАТЕЛЕЙ ПОДДЕРЖКИ</w:t>
      </w:r>
    </w:p>
    <w:p w14:paraId="07EE1C04" w14:textId="77777777" w:rsidR="003E3EE4" w:rsidRPr="003E3EE4" w:rsidRDefault="003E3EE4" w:rsidP="003E3EE4">
      <w:pPr>
        <w:pStyle w:val="ConsPlusNormal"/>
        <w:jc w:val="both"/>
        <w:rPr>
          <w:rFonts w:ascii="Times New Roman" w:hAnsi="Times New Roman" w:cs="Times New Roman"/>
          <w:sz w:val="28"/>
          <w:szCs w:val="28"/>
        </w:rPr>
      </w:pPr>
    </w:p>
    <w:p w14:paraId="54B5831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В целях реализации </w:t>
      </w:r>
      <w:hyperlink r:id="rId4">
        <w:r w:rsidRPr="003E3EE4">
          <w:rPr>
            <w:rFonts w:ascii="Times New Roman" w:hAnsi="Times New Roman" w:cs="Times New Roman"/>
            <w:color w:val="0000FF"/>
            <w:sz w:val="28"/>
            <w:szCs w:val="28"/>
          </w:rPr>
          <w:t>статьи 31.2</w:t>
        </w:r>
      </w:hyperlink>
      <w:r w:rsidRPr="003E3EE4">
        <w:rPr>
          <w:rFonts w:ascii="Times New Roman" w:hAnsi="Times New Roman" w:cs="Times New Roman"/>
          <w:sz w:val="28"/>
          <w:szCs w:val="28"/>
        </w:rPr>
        <w:t xml:space="preserve"> Федерального закона от 12 января 1996 года N 7-ФЗ "О некоммерческих организациях" (далее Федеральный закон N 7-ФЗ), </w:t>
      </w:r>
      <w:hyperlink r:id="rId5">
        <w:r w:rsidRPr="003E3EE4">
          <w:rPr>
            <w:rFonts w:ascii="Times New Roman" w:hAnsi="Times New Roman" w:cs="Times New Roman"/>
            <w:color w:val="0000FF"/>
            <w:sz w:val="28"/>
            <w:szCs w:val="28"/>
          </w:rPr>
          <w:t>статьи 6</w:t>
        </w:r>
      </w:hyperlink>
      <w:r w:rsidRPr="003E3EE4">
        <w:rPr>
          <w:rFonts w:ascii="Times New Roman" w:hAnsi="Times New Roman" w:cs="Times New Roman"/>
          <w:sz w:val="28"/>
          <w:szCs w:val="28"/>
        </w:rPr>
        <w:t xml:space="preserve"> областного закона от 31.01.2011 N 927-ОЗ "О поддержке социально ориентированных некоммерческих организаций, а также разграничении полномочий Новгородской областной Думы и Правительства Новгородской области в этой сфере":</w:t>
      </w:r>
    </w:p>
    <w:p w14:paraId="5274028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1. Комитету по внутренней политике Новгородской области (далее комитет):</w:t>
      </w:r>
    </w:p>
    <w:p w14:paraId="479276D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1.1. Осуществлять формирование и ведение реестра социально ориентированных некоммерческих организаций - получателей поддержки в Новгородской области (далее Реестр) в соответствии с </w:t>
      </w:r>
      <w:hyperlink r:id="rId6">
        <w:r w:rsidRPr="003E3EE4">
          <w:rPr>
            <w:rFonts w:ascii="Times New Roman" w:hAnsi="Times New Roman" w:cs="Times New Roman"/>
            <w:color w:val="0000FF"/>
            <w:sz w:val="28"/>
            <w:szCs w:val="28"/>
          </w:rPr>
          <w:t>постановлением</w:t>
        </w:r>
      </w:hyperlink>
      <w:r w:rsidRPr="003E3EE4">
        <w:rPr>
          <w:rFonts w:ascii="Times New Roman" w:hAnsi="Times New Roman" w:cs="Times New Roman"/>
          <w:sz w:val="28"/>
          <w:szCs w:val="28"/>
        </w:rPr>
        <w:t xml:space="preserve"> Правительства Российской Федерации от 30 июля 2021 года N 1290 "О реестре социально ориентированных некоммерческих организаций" (далее постановление Правительства N 1290), </w:t>
      </w:r>
      <w:hyperlink r:id="rId7">
        <w:r w:rsidRPr="003E3EE4">
          <w:rPr>
            <w:rFonts w:ascii="Times New Roman" w:hAnsi="Times New Roman" w:cs="Times New Roman"/>
            <w:color w:val="0000FF"/>
            <w:sz w:val="28"/>
            <w:szCs w:val="28"/>
          </w:rPr>
          <w:t>приказом</w:t>
        </w:r>
      </w:hyperlink>
      <w:r w:rsidRPr="003E3EE4">
        <w:rPr>
          <w:rFonts w:ascii="Times New Roman" w:hAnsi="Times New Roman" w:cs="Times New Roman"/>
          <w:sz w:val="28"/>
          <w:szCs w:val="28"/>
        </w:rPr>
        <w:t xml:space="preserve"> Министерства экономического развития Российской Федерации от 17 мая 2011 года N 223 "О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организационным средствам обеспечения пользования указанными реестрами" (далее приказ Минэкономразвития N 223);</w:t>
      </w:r>
    </w:p>
    <w:p w14:paraId="58E723D3"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1.2. Оказывать консультативную помощь органам исполнительной власти Новгородской области, оказывающим государственную поддержку социально ориентированным некоммерческим организациям (далее СОНКО), и органам местного самоуправления Новгородской области, оказывающим поддержку СОНКО, в работе по формированию и ведению реестров.</w:t>
      </w:r>
    </w:p>
    <w:p w14:paraId="36563530"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 Органам исполнительной власти Новгородской области, оказывающим государственную поддержку СОНКО:</w:t>
      </w:r>
    </w:p>
    <w:p w14:paraId="24433C9E" w14:textId="77777777" w:rsidR="003E3EE4" w:rsidRPr="003E3EE4" w:rsidRDefault="003E3EE4" w:rsidP="003E3EE4">
      <w:pPr>
        <w:pStyle w:val="ConsPlusNormal"/>
        <w:ind w:firstLine="540"/>
        <w:jc w:val="both"/>
        <w:rPr>
          <w:rFonts w:ascii="Times New Roman" w:hAnsi="Times New Roman" w:cs="Times New Roman"/>
          <w:sz w:val="28"/>
          <w:szCs w:val="28"/>
        </w:rPr>
      </w:pPr>
      <w:bookmarkStart w:id="0" w:name="P17"/>
      <w:bookmarkEnd w:id="0"/>
      <w:r w:rsidRPr="003E3EE4">
        <w:rPr>
          <w:rFonts w:ascii="Times New Roman" w:hAnsi="Times New Roman" w:cs="Times New Roman"/>
          <w:sz w:val="28"/>
          <w:szCs w:val="28"/>
        </w:rPr>
        <w:t xml:space="preserve">2.1. Осуществлять формирование и ведение Реестра в соответствии с </w:t>
      </w:r>
      <w:hyperlink r:id="rId8">
        <w:r w:rsidRPr="003E3EE4">
          <w:rPr>
            <w:rFonts w:ascii="Times New Roman" w:hAnsi="Times New Roman" w:cs="Times New Roman"/>
            <w:color w:val="0000FF"/>
            <w:sz w:val="28"/>
            <w:szCs w:val="28"/>
          </w:rPr>
          <w:t>постановлением</w:t>
        </w:r>
      </w:hyperlink>
      <w:r w:rsidRPr="003E3EE4">
        <w:rPr>
          <w:rFonts w:ascii="Times New Roman" w:hAnsi="Times New Roman" w:cs="Times New Roman"/>
          <w:sz w:val="28"/>
          <w:szCs w:val="28"/>
        </w:rPr>
        <w:t xml:space="preserve"> Правительства N 1290, </w:t>
      </w:r>
      <w:hyperlink r:id="rId9">
        <w:r w:rsidRPr="003E3EE4">
          <w:rPr>
            <w:rFonts w:ascii="Times New Roman" w:hAnsi="Times New Roman" w:cs="Times New Roman"/>
            <w:color w:val="0000FF"/>
            <w:sz w:val="28"/>
            <w:szCs w:val="28"/>
          </w:rPr>
          <w:t>приказом</w:t>
        </w:r>
      </w:hyperlink>
      <w:r w:rsidRPr="003E3EE4">
        <w:rPr>
          <w:rFonts w:ascii="Times New Roman" w:hAnsi="Times New Roman" w:cs="Times New Roman"/>
          <w:sz w:val="28"/>
          <w:szCs w:val="28"/>
        </w:rPr>
        <w:t xml:space="preserve"> Минэкономразвития N 223;</w:t>
      </w:r>
    </w:p>
    <w:p w14:paraId="42794C7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2.2. Определить лиц, ответственных за формирование и ведение Реестра, и представить в комитет до 15 августа 2022 года соответствующую информацию с указанием фамилии, имени, отчества, должности, контактного телефона и адреса электронной почты;</w:t>
      </w:r>
    </w:p>
    <w:p w14:paraId="42786879"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2.3. В целях реализации </w:t>
      </w:r>
      <w:hyperlink w:anchor="P17">
        <w:r w:rsidRPr="003E3EE4">
          <w:rPr>
            <w:rFonts w:ascii="Times New Roman" w:hAnsi="Times New Roman" w:cs="Times New Roman"/>
            <w:color w:val="0000FF"/>
            <w:sz w:val="28"/>
            <w:szCs w:val="28"/>
          </w:rPr>
          <w:t>подпункта 2.1</w:t>
        </w:r>
      </w:hyperlink>
      <w:r w:rsidRPr="003E3EE4">
        <w:rPr>
          <w:rFonts w:ascii="Times New Roman" w:hAnsi="Times New Roman" w:cs="Times New Roman"/>
          <w:sz w:val="28"/>
          <w:szCs w:val="28"/>
        </w:rPr>
        <w:t xml:space="preserve"> распоряжения:</w:t>
      </w:r>
    </w:p>
    <w:p w14:paraId="204CB69C"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lastRenderedPageBreak/>
        <w:t xml:space="preserve">2.3.1. Осуществлять включение в Реестр сведений о СОНКО, предусмотренных </w:t>
      </w:r>
      <w:hyperlink r:id="rId10">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принятия решения об оказании государственной поддержки;</w:t>
      </w:r>
    </w:p>
    <w:p w14:paraId="3A06518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2.3.2. Осуществлять внесение изменений в Реестр в случае изменения сведений о СОНКО, предусмотренных </w:t>
      </w:r>
      <w:hyperlink r:id="rId11">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поступления информации об их изменении;</w:t>
      </w:r>
    </w:p>
    <w:p w14:paraId="1F73174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2.3.3. Осуществлять исключение из Реестра сведений о СОНКО, предусмотренных </w:t>
      </w:r>
      <w:hyperlink r:id="rId12">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w:t>
      </w:r>
    </w:p>
    <w:p w14:paraId="1D514AE6"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истечения 3 лет с даты включения СОНКО в Реестр;</w:t>
      </w:r>
    </w:p>
    <w:p w14:paraId="52B32B4D"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выявления несоответствия данных о СОНКО в части даты принятия решения об оказании государственной поддержки, полного и сокращенного (при наличии) наименования СОНКО, наименования органа исполнительной власти Новгородской области, предоставившего государственную поддержку, сведениям, содержащимся в Реестре, за исключением технических ошибок или опечаток;</w:t>
      </w:r>
    </w:p>
    <w:p w14:paraId="3E910955"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получения информации о нарушении СОНКО существенных условий соглашения о предоставлении субсидии либо гранта (цели и условия предоставления субсидии (гранта), достижения значений показателей результативности), установленном на основании проверки, проведенной органами государственного финансового контроля, органами исполнительной власти Новгородской области (в случае получения субсидий или грантов из нескольких источников СОНКО исключается из Реестра при нарушении существенных условий одного соглашения);</w:t>
      </w:r>
    </w:p>
    <w:p w14:paraId="5D1FCBF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2.4. Осуществлять представление в комитет:</w:t>
      </w:r>
    </w:p>
    <w:p w14:paraId="27E14EAD"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2.4.1. </w:t>
      </w:r>
      <w:hyperlink w:anchor="P60">
        <w:r w:rsidRPr="003E3EE4">
          <w:rPr>
            <w:rFonts w:ascii="Times New Roman" w:hAnsi="Times New Roman" w:cs="Times New Roman"/>
            <w:color w:val="0000FF"/>
            <w:sz w:val="28"/>
            <w:szCs w:val="28"/>
          </w:rPr>
          <w:t>Информации</w:t>
        </w:r>
      </w:hyperlink>
      <w:r w:rsidRPr="003E3EE4">
        <w:rPr>
          <w:rFonts w:ascii="Times New Roman" w:hAnsi="Times New Roman" w:cs="Times New Roman"/>
          <w:sz w:val="28"/>
          <w:szCs w:val="28"/>
        </w:rPr>
        <w:t xml:space="preserve"> о включении в Реестр сведений о СОНКО по форме согласно приложению к распоряжению в течение 5 рабочих дней со дня включения сведений в Реестр;</w:t>
      </w:r>
    </w:p>
    <w:p w14:paraId="09940B4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2.4.2. </w:t>
      </w:r>
      <w:hyperlink w:anchor="P60">
        <w:r w:rsidRPr="003E3EE4">
          <w:rPr>
            <w:rFonts w:ascii="Times New Roman" w:hAnsi="Times New Roman" w:cs="Times New Roman"/>
            <w:color w:val="0000FF"/>
            <w:sz w:val="28"/>
            <w:szCs w:val="28"/>
          </w:rPr>
          <w:t>Информации</w:t>
        </w:r>
      </w:hyperlink>
      <w:r w:rsidRPr="003E3EE4">
        <w:rPr>
          <w:rFonts w:ascii="Times New Roman" w:hAnsi="Times New Roman" w:cs="Times New Roman"/>
          <w:sz w:val="28"/>
          <w:szCs w:val="28"/>
        </w:rPr>
        <w:t xml:space="preserve"> о внесении изменений в Реестр в случае изменения сведений о СОНКО по форме согласно приложению к распоряжению в течение 5 рабочих дней со дня внесения изменений в Реестр;</w:t>
      </w:r>
    </w:p>
    <w:p w14:paraId="0F827B9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2.4.3. Информации об исключении из Реестра сведений о СОНКО в течение 5 рабочих дней со дня исключения сведений из Реестра;</w:t>
      </w:r>
    </w:p>
    <w:p w14:paraId="1BCD0C6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2.4.4. Информации о СОНКО, необходимой для проведения анализа сведений, включенных в Реестр, в течение 5 рабочих дней со дня получения запроса комитета.</w:t>
      </w:r>
    </w:p>
    <w:p w14:paraId="24629BF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 Рекомендовать органам местного самоуправления Новгородской области, оказывающим поддержку СОНКО:</w:t>
      </w:r>
    </w:p>
    <w:p w14:paraId="76075CC6" w14:textId="77777777" w:rsidR="003E3EE4" w:rsidRPr="003E3EE4" w:rsidRDefault="003E3EE4" w:rsidP="003E3EE4">
      <w:pPr>
        <w:pStyle w:val="ConsPlusNormal"/>
        <w:ind w:firstLine="540"/>
        <w:jc w:val="both"/>
        <w:rPr>
          <w:rFonts w:ascii="Times New Roman" w:hAnsi="Times New Roman" w:cs="Times New Roman"/>
          <w:sz w:val="28"/>
          <w:szCs w:val="28"/>
        </w:rPr>
      </w:pPr>
      <w:bookmarkStart w:id="1" w:name="P32"/>
      <w:bookmarkEnd w:id="1"/>
      <w:r w:rsidRPr="003E3EE4">
        <w:rPr>
          <w:rFonts w:ascii="Times New Roman" w:hAnsi="Times New Roman" w:cs="Times New Roman"/>
          <w:sz w:val="28"/>
          <w:szCs w:val="28"/>
        </w:rPr>
        <w:t xml:space="preserve">3.1. Осуществлять формирование и ведение Реестра в соответствии с </w:t>
      </w:r>
      <w:hyperlink r:id="rId13">
        <w:r w:rsidRPr="003E3EE4">
          <w:rPr>
            <w:rFonts w:ascii="Times New Roman" w:hAnsi="Times New Roman" w:cs="Times New Roman"/>
            <w:color w:val="0000FF"/>
            <w:sz w:val="28"/>
            <w:szCs w:val="28"/>
          </w:rPr>
          <w:t>постановлением</w:t>
        </w:r>
      </w:hyperlink>
      <w:r w:rsidRPr="003E3EE4">
        <w:rPr>
          <w:rFonts w:ascii="Times New Roman" w:hAnsi="Times New Roman" w:cs="Times New Roman"/>
          <w:sz w:val="28"/>
          <w:szCs w:val="28"/>
        </w:rPr>
        <w:t xml:space="preserve"> Правительства N 1290, </w:t>
      </w:r>
      <w:hyperlink r:id="rId14">
        <w:r w:rsidRPr="003E3EE4">
          <w:rPr>
            <w:rFonts w:ascii="Times New Roman" w:hAnsi="Times New Roman" w:cs="Times New Roman"/>
            <w:color w:val="0000FF"/>
            <w:sz w:val="28"/>
            <w:szCs w:val="28"/>
          </w:rPr>
          <w:t>приказом</w:t>
        </w:r>
      </w:hyperlink>
      <w:r w:rsidRPr="003E3EE4">
        <w:rPr>
          <w:rFonts w:ascii="Times New Roman" w:hAnsi="Times New Roman" w:cs="Times New Roman"/>
          <w:sz w:val="28"/>
          <w:szCs w:val="28"/>
        </w:rPr>
        <w:t xml:space="preserve"> Минэкономразвития N 223;</w:t>
      </w:r>
    </w:p>
    <w:p w14:paraId="137F21A7"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3.2. Определить лиц, ответственных за формирование и ведение Реестра, и представить в комитет до 15 августа 2022 года соответствующую информацию с указанием фамилии, имени, отчества, должности, контактного </w:t>
      </w:r>
      <w:r w:rsidRPr="003E3EE4">
        <w:rPr>
          <w:rFonts w:ascii="Times New Roman" w:hAnsi="Times New Roman" w:cs="Times New Roman"/>
          <w:sz w:val="28"/>
          <w:szCs w:val="28"/>
        </w:rPr>
        <w:lastRenderedPageBreak/>
        <w:t>телефона и адреса электронной почты;</w:t>
      </w:r>
    </w:p>
    <w:p w14:paraId="0F3AB1C1"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3.3. В целях реализации </w:t>
      </w:r>
      <w:hyperlink w:anchor="P32">
        <w:r w:rsidRPr="003E3EE4">
          <w:rPr>
            <w:rFonts w:ascii="Times New Roman" w:hAnsi="Times New Roman" w:cs="Times New Roman"/>
            <w:color w:val="0000FF"/>
            <w:sz w:val="28"/>
            <w:szCs w:val="28"/>
          </w:rPr>
          <w:t>подпункта 3.1</w:t>
        </w:r>
      </w:hyperlink>
      <w:r w:rsidRPr="003E3EE4">
        <w:rPr>
          <w:rFonts w:ascii="Times New Roman" w:hAnsi="Times New Roman" w:cs="Times New Roman"/>
          <w:sz w:val="28"/>
          <w:szCs w:val="28"/>
        </w:rPr>
        <w:t xml:space="preserve"> распоряжения:</w:t>
      </w:r>
    </w:p>
    <w:p w14:paraId="59C1E16C"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3.3.1. Осуществлять включение в Реестр сведений о СОНКО, предусмотренных </w:t>
      </w:r>
      <w:hyperlink r:id="rId15">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принятия решения об оказании поддержки;</w:t>
      </w:r>
    </w:p>
    <w:p w14:paraId="7DF1E1C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3.3.2. Осуществлять внесение изменений в Реестр в случае изменения сведений о СОНКО, предусмотренных </w:t>
      </w:r>
      <w:hyperlink r:id="rId16">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поступления информации об их изменении;</w:t>
      </w:r>
    </w:p>
    <w:p w14:paraId="437028B9"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3.3.3. Осуществлять исключение из Реестра сведений о СОНКО, предусмотренных </w:t>
      </w:r>
      <w:hyperlink r:id="rId17">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w:t>
      </w:r>
    </w:p>
    <w:p w14:paraId="40D72456"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истечения 3 лет с даты включения СОНКО в Реестр;</w:t>
      </w:r>
    </w:p>
    <w:p w14:paraId="1899DCF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выявления несоответствия данных о СОНКО в части даты принятия решения об оказании поддержки, полного и сокращенного (при наличии) наименования СОНКО, наименования органа местного самоуправления Новгородской области, предоставившего поддержку, сведениям, содержащимся в Реестре, за исключением технических ошибок или опечаток;</w:t>
      </w:r>
    </w:p>
    <w:p w14:paraId="61BFEFBC"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получения информации о нарушении СОНКО существенных условий соглашения о предоставлении субсидии либо гранта (цели и условия предоставления субсидии (гранта), достижения значений показателей результативности), установленном на основании проверки, проведенной органами муниципального финансового контроля, органами местного самоуправления Новгородской области (в случае получения субсидий или грантов из нескольких источников СОНКО исключается из Реестра при нарушении существенных условий одного соглашения);</w:t>
      </w:r>
    </w:p>
    <w:p w14:paraId="1B5CFBF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 Осуществлять представление в комитет:</w:t>
      </w:r>
    </w:p>
    <w:p w14:paraId="593B8940"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3.4.1. Информации о включении в Реестр сведений о СОНКО по форме согласно приложению к распоряжению в течение 5 рабочих дней со дня включения сведений в Реестр;</w:t>
      </w:r>
    </w:p>
    <w:p w14:paraId="5C0D3783"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3.4.2. </w:t>
      </w:r>
      <w:hyperlink w:anchor="P60">
        <w:r w:rsidRPr="003E3EE4">
          <w:rPr>
            <w:rFonts w:ascii="Times New Roman" w:hAnsi="Times New Roman" w:cs="Times New Roman"/>
            <w:color w:val="0000FF"/>
            <w:sz w:val="28"/>
            <w:szCs w:val="28"/>
          </w:rPr>
          <w:t>Информации</w:t>
        </w:r>
      </w:hyperlink>
      <w:r w:rsidRPr="003E3EE4">
        <w:rPr>
          <w:rFonts w:ascii="Times New Roman" w:hAnsi="Times New Roman" w:cs="Times New Roman"/>
          <w:sz w:val="28"/>
          <w:szCs w:val="28"/>
        </w:rPr>
        <w:t xml:space="preserve"> о внесении изменений в Реестр в случае изменения сведений о СОНКО по форме согласно приложению к распоряжению в течение 5 рабочих дней со дня внесения изменений в Реестр;</w:t>
      </w:r>
    </w:p>
    <w:p w14:paraId="02177F93"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3.4.3. Информации об исключении из Реестра сведений о СОНКО в течение 5 рабочих дней со дня исключения сведений из Реестра;</w:t>
      </w:r>
    </w:p>
    <w:p w14:paraId="5A85DBD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3.4.4. Информации о СОНКО, необходимой для проведения анализа сведений, включенных в Реестр, в течение 5 рабочих дней со дня получения запроса комитета.</w:t>
      </w:r>
    </w:p>
    <w:p w14:paraId="5C5035E7"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4. Разместить распоряжение на "Официальном интернет-портале правовой информации" (</w:t>
      </w:r>
      <w:hyperlink r:id="rId18">
        <w:r w:rsidRPr="003E3EE4">
          <w:rPr>
            <w:rFonts w:ascii="Times New Roman" w:hAnsi="Times New Roman" w:cs="Times New Roman"/>
            <w:color w:val="0000FF"/>
            <w:sz w:val="28"/>
            <w:szCs w:val="28"/>
          </w:rPr>
          <w:t>www.pravo.gov.ru</w:t>
        </w:r>
      </w:hyperlink>
      <w:r w:rsidRPr="003E3EE4">
        <w:rPr>
          <w:rFonts w:ascii="Times New Roman" w:hAnsi="Times New Roman" w:cs="Times New Roman"/>
          <w:sz w:val="28"/>
          <w:szCs w:val="28"/>
        </w:rPr>
        <w:t>).</w:t>
      </w:r>
    </w:p>
    <w:p w14:paraId="0C30CB7E" w14:textId="77777777" w:rsidR="003E3EE4" w:rsidRPr="003E3EE4" w:rsidRDefault="003E3EE4" w:rsidP="003E3EE4">
      <w:pPr>
        <w:pStyle w:val="ConsPlusNormal"/>
        <w:jc w:val="both"/>
        <w:rPr>
          <w:rFonts w:ascii="Times New Roman" w:hAnsi="Times New Roman" w:cs="Times New Roman"/>
          <w:sz w:val="28"/>
          <w:szCs w:val="28"/>
        </w:rPr>
      </w:pPr>
    </w:p>
    <w:p w14:paraId="46FB5BD1"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Губернатор Новгородской области</w:t>
      </w:r>
    </w:p>
    <w:p w14:paraId="33FE3FDC"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А.С.НИКИТИН</w:t>
      </w:r>
    </w:p>
    <w:p w14:paraId="3BE4BA15" w14:textId="77777777" w:rsidR="003E3EE4" w:rsidRPr="003E3EE4" w:rsidRDefault="003E3EE4" w:rsidP="003E3EE4">
      <w:pPr>
        <w:pStyle w:val="ConsPlusNormal"/>
        <w:jc w:val="both"/>
        <w:rPr>
          <w:rFonts w:ascii="Times New Roman" w:hAnsi="Times New Roman" w:cs="Times New Roman"/>
          <w:sz w:val="28"/>
          <w:szCs w:val="28"/>
        </w:rPr>
      </w:pPr>
    </w:p>
    <w:p w14:paraId="50C38554" w14:textId="77777777" w:rsidR="003E3EE4" w:rsidRPr="003E3EE4" w:rsidRDefault="003E3EE4" w:rsidP="003E3EE4">
      <w:pPr>
        <w:pStyle w:val="ConsPlusNormal"/>
        <w:jc w:val="both"/>
        <w:rPr>
          <w:rFonts w:ascii="Times New Roman" w:hAnsi="Times New Roman" w:cs="Times New Roman"/>
          <w:sz w:val="28"/>
          <w:szCs w:val="28"/>
        </w:rPr>
      </w:pPr>
    </w:p>
    <w:p w14:paraId="77DECF37" w14:textId="77777777" w:rsidR="003E3EE4" w:rsidRPr="003E3EE4" w:rsidRDefault="003E3EE4" w:rsidP="003E3EE4">
      <w:pPr>
        <w:pStyle w:val="ConsPlusNormal"/>
        <w:jc w:val="both"/>
        <w:rPr>
          <w:rFonts w:ascii="Times New Roman" w:hAnsi="Times New Roman" w:cs="Times New Roman"/>
          <w:sz w:val="28"/>
          <w:szCs w:val="28"/>
        </w:rPr>
      </w:pPr>
    </w:p>
    <w:p w14:paraId="39C059CE" w14:textId="77777777" w:rsidR="003E3EE4" w:rsidRPr="003E3EE4" w:rsidRDefault="003E3EE4" w:rsidP="003E3EE4">
      <w:pPr>
        <w:pStyle w:val="ConsPlusNormal"/>
        <w:jc w:val="both"/>
        <w:rPr>
          <w:rFonts w:ascii="Times New Roman" w:hAnsi="Times New Roman" w:cs="Times New Roman"/>
          <w:sz w:val="28"/>
          <w:szCs w:val="28"/>
        </w:rPr>
      </w:pPr>
    </w:p>
    <w:p w14:paraId="2342122C" w14:textId="77777777" w:rsidR="003E3EE4" w:rsidRPr="003E3EE4" w:rsidRDefault="003E3EE4" w:rsidP="003E3EE4">
      <w:pPr>
        <w:pStyle w:val="ConsPlusNormal"/>
        <w:jc w:val="both"/>
        <w:rPr>
          <w:rFonts w:ascii="Times New Roman" w:hAnsi="Times New Roman" w:cs="Times New Roman"/>
          <w:sz w:val="28"/>
          <w:szCs w:val="28"/>
        </w:rPr>
      </w:pPr>
    </w:p>
    <w:p w14:paraId="38BFEFC3" w14:textId="77777777" w:rsidR="003E3EE4" w:rsidRPr="003E3EE4" w:rsidRDefault="003E3EE4" w:rsidP="003E3EE4">
      <w:pPr>
        <w:pStyle w:val="ConsPlusNormal"/>
        <w:jc w:val="right"/>
        <w:outlineLvl w:val="0"/>
        <w:rPr>
          <w:rFonts w:ascii="Times New Roman" w:hAnsi="Times New Roman" w:cs="Times New Roman"/>
          <w:sz w:val="28"/>
          <w:szCs w:val="28"/>
        </w:rPr>
      </w:pPr>
      <w:r w:rsidRPr="003E3EE4">
        <w:rPr>
          <w:rFonts w:ascii="Times New Roman" w:hAnsi="Times New Roman" w:cs="Times New Roman"/>
          <w:sz w:val="28"/>
          <w:szCs w:val="28"/>
        </w:rPr>
        <w:t>Приложение</w:t>
      </w:r>
    </w:p>
    <w:p w14:paraId="365DD426"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к распоряжению</w:t>
      </w:r>
    </w:p>
    <w:p w14:paraId="48A07425"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Правительства Новгородской области</w:t>
      </w:r>
    </w:p>
    <w:p w14:paraId="4E948E13"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от 26.07.2022 N 243-рг</w:t>
      </w:r>
    </w:p>
    <w:p w14:paraId="341B588D" w14:textId="77777777" w:rsidR="003E3EE4" w:rsidRPr="003E3EE4" w:rsidRDefault="003E3EE4" w:rsidP="003E3EE4">
      <w:pPr>
        <w:pStyle w:val="ConsPlusNormal"/>
        <w:jc w:val="both"/>
        <w:rPr>
          <w:rFonts w:ascii="Times New Roman" w:hAnsi="Times New Roman" w:cs="Times New Roman"/>
          <w:sz w:val="28"/>
          <w:szCs w:val="28"/>
        </w:rPr>
      </w:pPr>
    </w:p>
    <w:p w14:paraId="1820F769" w14:textId="77777777" w:rsidR="003E3EE4" w:rsidRPr="003E3EE4" w:rsidRDefault="003E3EE4" w:rsidP="003E3EE4">
      <w:pPr>
        <w:pStyle w:val="ConsPlusNormal"/>
        <w:rPr>
          <w:rFonts w:ascii="Times New Roman" w:hAnsi="Times New Roman" w:cs="Times New Roman"/>
          <w:sz w:val="28"/>
          <w:szCs w:val="28"/>
        </w:rPr>
        <w:sectPr w:rsidR="003E3EE4" w:rsidRPr="003E3EE4" w:rsidSect="003E3EE4">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850"/>
        <w:gridCol w:w="1362"/>
        <w:gridCol w:w="1019"/>
        <w:gridCol w:w="1247"/>
        <w:gridCol w:w="1474"/>
        <w:gridCol w:w="1020"/>
        <w:gridCol w:w="1020"/>
        <w:gridCol w:w="794"/>
        <w:gridCol w:w="850"/>
        <w:gridCol w:w="646"/>
        <w:gridCol w:w="1735"/>
        <w:gridCol w:w="1043"/>
      </w:tblGrid>
      <w:tr w:rsidR="003E3EE4" w:rsidRPr="003E3EE4" w14:paraId="19333B43" w14:textId="77777777">
        <w:tc>
          <w:tcPr>
            <w:tcW w:w="13626" w:type="dxa"/>
            <w:gridSpan w:val="13"/>
            <w:tcBorders>
              <w:top w:val="nil"/>
              <w:left w:val="nil"/>
              <w:bottom w:val="nil"/>
              <w:right w:val="nil"/>
            </w:tcBorders>
          </w:tcPr>
          <w:p w14:paraId="43C036FC" w14:textId="77777777" w:rsidR="003E3EE4" w:rsidRPr="003E3EE4" w:rsidRDefault="003E3EE4" w:rsidP="003E3EE4">
            <w:pPr>
              <w:pStyle w:val="ConsPlusNormal"/>
              <w:jc w:val="center"/>
              <w:rPr>
                <w:rFonts w:ascii="Times New Roman" w:hAnsi="Times New Roman" w:cs="Times New Roman"/>
                <w:sz w:val="28"/>
                <w:szCs w:val="28"/>
              </w:rPr>
            </w:pPr>
            <w:bookmarkStart w:id="2" w:name="P60"/>
            <w:bookmarkEnd w:id="2"/>
            <w:r w:rsidRPr="003E3EE4">
              <w:rPr>
                <w:rFonts w:ascii="Times New Roman" w:hAnsi="Times New Roman" w:cs="Times New Roman"/>
                <w:sz w:val="28"/>
                <w:szCs w:val="28"/>
              </w:rPr>
              <w:lastRenderedPageBreak/>
              <w:t>ИНФОРМАЦИЯ</w:t>
            </w:r>
          </w:p>
          <w:p w14:paraId="400A3218"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 включении в реестр социально ориентированных</w:t>
            </w:r>
          </w:p>
          <w:p w14:paraId="6230A6AC"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некоммерческих организаций - получателей поддержки сведений</w:t>
            </w:r>
          </w:p>
          <w:p w14:paraId="7F76FA29"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 СОНКО или о внесении изменений в реестр социально</w:t>
            </w:r>
          </w:p>
          <w:p w14:paraId="1267E365"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ориентированных некоммерческих организаций - получателей</w:t>
            </w:r>
          </w:p>
          <w:p w14:paraId="368B4DC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поддержки в случае изменения сведений о СОНКО</w:t>
            </w:r>
          </w:p>
        </w:tc>
      </w:tr>
      <w:tr w:rsidR="003E3EE4" w:rsidRPr="003E3EE4" w14:paraId="4A6A1124" w14:textId="77777777">
        <w:tblPrEx>
          <w:tblBorders>
            <w:insideV w:val="nil"/>
          </w:tblBorders>
        </w:tblPrEx>
        <w:tc>
          <w:tcPr>
            <w:tcW w:w="2778" w:type="dxa"/>
            <w:gridSpan w:val="3"/>
            <w:tcBorders>
              <w:top w:val="nil"/>
              <w:bottom w:val="nil"/>
            </w:tcBorders>
          </w:tcPr>
          <w:p w14:paraId="5D7531C2" w14:textId="77777777" w:rsidR="003E3EE4" w:rsidRPr="003E3EE4" w:rsidRDefault="003E3EE4" w:rsidP="003E3EE4">
            <w:pPr>
              <w:pStyle w:val="ConsPlusNormal"/>
              <w:rPr>
                <w:rFonts w:ascii="Times New Roman" w:hAnsi="Times New Roman" w:cs="Times New Roman"/>
                <w:sz w:val="28"/>
                <w:szCs w:val="28"/>
              </w:rPr>
            </w:pPr>
          </w:p>
        </w:tc>
        <w:tc>
          <w:tcPr>
            <w:tcW w:w="8070" w:type="dxa"/>
            <w:gridSpan w:val="8"/>
            <w:tcBorders>
              <w:top w:val="nil"/>
            </w:tcBorders>
          </w:tcPr>
          <w:p w14:paraId="7402D70F" w14:textId="77777777" w:rsidR="003E3EE4" w:rsidRPr="003E3EE4" w:rsidRDefault="003E3EE4" w:rsidP="003E3EE4">
            <w:pPr>
              <w:pStyle w:val="ConsPlusNormal"/>
              <w:rPr>
                <w:rFonts w:ascii="Times New Roman" w:hAnsi="Times New Roman" w:cs="Times New Roman"/>
                <w:sz w:val="28"/>
                <w:szCs w:val="28"/>
              </w:rPr>
            </w:pPr>
          </w:p>
        </w:tc>
        <w:tc>
          <w:tcPr>
            <w:tcW w:w="2778" w:type="dxa"/>
            <w:gridSpan w:val="2"/>
            <w:tcBorders>
              <w:top w:val="nil"/>
              <w:bottom w:val="nil"/>
            </w:tcBorders>
          </w:tcPr>
          <w:p w14:paraId="2C0156C2"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6F8CC5D7" w14:textId="77777777">
        <w:tblPrEx>
          <w:tblBorders>
            <w:insideV w:val="nil"/>
          </w:tblBorders>
        </w:tblPrEx>
        <w:tc>
          <w:tcPr>
            <w:tcW w:w="2778" w:type="dxa"/>
            <w:gridSpan w:val="3"/>
            <w:tcBorders>
              <w:top w:val="nil"/>
              <w:bottom w:val="nil"/>
            </w:tcBorders>
          </w:tcPr>
          <w:p w14:paraId="6220628D" w14:textId="77777777" w:rsidR="003E3EE4" w:rsidRPr="003E3EE4" w:rsidRDefault="003E3EE4" w:rsidP="003E3EE4">
            <w:pPr>
              <w:pStyle w:val="ConsPlusNormal"/>
              <w:rPr>
                <w:rFonts w:ascii="Times New Roman" w:hAnsi="Times New Roman" w:cs="Times New Roman"/>
                <w:sz w:val="28"/>
                <w:szCs w:val="28"/>
              </w:rPr>
            </w:pPr>
          </w:p>
        </w:tc>
        <w:tc>
          <w:tcPr>
            <w:tcW w:w="8070" w:type="dxa"/>
            <w:gridSpan w:val="8"/>
            <w:tcBorders>
              <w:bottom w:val="nil"/>
            </w:tcBorders>
          </w:tcPr>
          <w:p w14:paraId="0F719836"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(наименование органа, предоставившего поддержку)</w:t>
            </w:r>
          </w:p>
        </w:tc>
        <w:tc>
          <w:tcPr>
            <w:tcW w:w="2778" w:type="dxa"/>
            <w:gridSpan w:val="2"/>
            <w:tcBorders>
              <w:top w:val="nil"/>
              <w:bottom w:val="nil"/>
            </w:tcBorders>
          </w:tcPr>
          <w:p w14:paraId="13E9130E"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2F6BC669" w14:textId="77777777">
        <w:tc>
          <w:tcPr>
            <w:tcW w:w="13626" w:type="dxa"/>
            <w:gridSpan w:val="13"/>
            <w:tcBorders>
              <w:top w:val="nil"/>
              <w:left w:val="nil"/>
              <w:right w:val="nil"/>
            </w:tcBorders>
          </w:tcPr>
          <w:p w14:paraId="068ECD6F"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46F541FE" w14:textId="77777777">
        <w:tblPrEx>
          <w:tblBorders>
            <w:left w:val="single" w:sz="4" w:space="0" w:color="auto"/>
            <w:right w:val="single" w:sz="4" w:space="0" w:color="auto"/>
            <w:insideH w:val="single" w:sz="4" w:space="0" w:color="auto"/>
          </w:tblBorders>
        </w:tblPrEx>
        <w:tc>
          <w:tcPr>
            <w:tcW w:w="566" w:type="dxa"/>
            <w:vMerge w:val="restart"/>
            <w:vAlign w:val="center"/>
          </w:tcPr>
          <w:p w14:paraId="54A76EA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Номер реестровой записи</w:t>
            </w:r>
          </w:p>
        </w:tc>
        <w:tc>
          <w:tcPr>
            <w:tcW w:w="850" w:type="dxa"/>
            <w:vMerge w:val="restart"/>
            <w:vAlign w:val="center"/>
          </w:tcPr>
          <w:p w14:paraId="364BF11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Дата включения сведений в реестр</w:t>
            </w:r>
          </w:p>
        </w:tc>
        <w:tc>
          <w:tcPr>
            <w:tcW w:w="1362" w:type="dxa"/>
            <w:vMerge w:val="restart"/>
            <w:vAlign w:val="center"/>
          </w:tcPr>
          <w:p w14:paraId="1A6C56E6"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Дата принятия решения об оказании поддержки или о прекращении оказания поддержки</w:t>
            </w:r>
          </w:p>
        </w:tc>
        <w:tc>
          <w:tcPr>
            <w:tcW w:w="5780" w:type="dxa"/>
            <w:gridSpan w:val="5"/>
            <w:vAlign w:val="center"/>
          </w:tcPr>
          <w:p w14:paraId="494E65BC"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Сведения о СОНКО</w:t>
            </w:r>
          </w:p>
        </w:tc>
        <w:tc>
          <w:tcPr>
            <w:tcW w:w="2290" w:type="dxa"/>
            <w:gridSpan w:val="3"/>
            <w:vAlign w:val="center"/>
          </w:tcPr>
          <w:p w14:paraId="5FA1AF4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Сведения о предоставленной поддержке</w:t>
            </w:r>
          </w:p>
        </w:tc>
        <w:tc>
          <w:tcPr>
            <w:tcW w:w="1735" w:type="dxa"/>
            <w:vMerge w:val="restart"/>
            <w:vAlign w:val="center"/>
          </w:tcPr>
          <w:p w14:paraId="58CDB8F7"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Информация (если имеется) о нарушениях, допущенных СОНКО, получившей поддержку, в том числе о нецелевом использовании предоставленных средств и имущества</w:t>
            </w:r>
          </w:p>
        </w:tc>
        <w:tc>
          <w:tcPr>
            <w:tcW w:w="1043" w:type="dxa"/>
            <w:vMerge w:val="restart"/>
            <w:vAlign w:val="center"/>
          </w:tcPr>
          <w:p w14:paraId="673DBFD5"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Информация об учредителях СОНКО</w:t>
            </w:r>
          </w:p>
        </w:tc>
      </w:tr>
      <w:tr w:rsidR="003E3EE4" w:rsidRPr="003E3EE4" w14:paraId="6068ECAE" w14:textId="77777777">
        <w:tblPrEx>
          <w:tblBorders>
            <w:left w:val="single" w:sz="4" w:space="0" w:color="auto"/>
            <w:right w:val="single" w:sz="4" w:space="0" w:color="auto"/>
            <w:insideH w:val="single" w:sz="4" w:space="0" w:color="auto"/>
          </w:tblBorders>
        </w:tblPrEx>
        <w:tc>
          <w:tcPr>
            <w:tcW w:w="566" w:type="dxa"/>
            <w:vMerge/>
          </w:tcPr>
          <w:p w14:paraId="49F19187" w14:textId="77777777" w:rsidR="003E3EE4" w:rsidRPr="003E3EE4" w:rsidRDefault="003E3EE4" w:rsidP="003E3EE4">
            <w:pPr>
              <w:pStyle w:val="ConsPlusNormal"/>
              <w:rPr>
                <w:rFonts w:ascii="Times New Roman" w:hAnsi="Times New Roman" w:cs="Times New Roman"/>
                <w:sz w:val="28"/>
                <w:szCs w:val="28"/>
              </w:rPr>
            </w:pPr>
          </w:p>
        </w:tc>
        <w:tc>
          <w:tcPr>
            <w:tcW w:w="850" w:type="dxa"/>
            <w:vMerge/>
          </w:tcPr>
          <w:p w14:paraId="5368C33B" w14:textId="77777777" w:rsidR="003E3EE4" w:rsidRPr="003E3EE4" w:rsidRDefault="003E3EE4" w:rsidP="003E3EE4">
            <w:pPr>
              <w:pStyle w:val="ConsPlusNormal"/>
              <w:rPr>
                <w:rFonts w:ascii="Times New Roman" w:hAnsi="Times New Roman" w:cs="Times New Roman"/>
                <w:sz w:val="28"/>
                <w:szCs w:val="28"/>
              </w:rPr>
            </w:pPr>
          </w:p>
        </w:tc>
        <w:tc>
          <w:tcPr>
            <w:tcW w:w="1362" w:type="dxa"/>
            <w:vMerge/>
          </w:tcPr>
          <w:p w14:paraId="75168A71"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7CCA1359"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наименование постоянно действующего органа СОНКО</w:t>
            </w:r>
          </w:p>
        </w:tc>
        <w:tc>
          <w:tcPr>
            <w:tcW w:w="1247" w:type="dxa"/>
            <w:vAlign w:val="center"/>
          </w:tcPr>
          <w:p w14:paraId="6F5538BD"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адрес (местонахождение) постоянно действующего органа СОНКО</w:t>
            </w:r>
          </w:p>
        </w:tc>
        <w:tc>
          <w:tcPr>
            <w:tcW w:w="1474" w:type="dxa"/>
            <w:vAlign w:val="center"/>
          </w:tcPr>
          <w:p w14:paraId="336E8ACB"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основной государственный регистрационный номер записи о государственной регистрации СОНКО (ОГРН)</w:t>
            </w:r>
          </w:p>
        </w:tc>
        <w:tc>
          <w:tcPr>
            <w:tcW w:w="1020" w:type="dxa"/>
            <w:vAlign w:val="center"/>
          </w:tcPr>
          <w:p w14:paraId="32CF6962"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идентификационный номер налогоплательщика</w:t>
            </w:r>
          </w:p>
        </w:tc>
        <w:tc>
          <w:tcPr>
            <w:tcW w:w="1020" w:type="dxa"/>
            <w:vAlign w:val="center"/>
          </w:tcPr>
          <w:p w14:paraId="5A0AB40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основные виды деятельности СОНКО</w:t>
            </w:r>
          </w:p>
        </w:tc>
        <w:tc>
          <w:tcPr>
            <w:tcW w:w="794" w:type="dxa"/>
            <w:vAlign w:val="center"/>
          </w:tcPr>
          <w:p w14:paraId="67AA8D05"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форма поддержки</w:t>
            </w:r>
          </w:p>
        </w:tc>
        <w:tc>
          <w:tcPr>
            <w:tcW w:w="850" w:type="dxa"/>
            <w:vAlign w:val="center"/>
          </w:tcPr>
          <w:p w14:paraId="14F0F666"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размер поддержки</w:t>
            </w:r>
          </w:p>
        </w:tc>
        <w:tc>
          <w:tcPr>
            <w:tcW w:w="646" w:type="dxa"/>
            <w:vAlign w:val="center"/>
          </w:tcPr>
          <w:p w14:paraId="7B296B03"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срок оказания поддержки</w:t>
            </w:r>
          </w:p>
        </w:tc>
        <w:tc>
          <w:tcPr>
            <w:tcW w:w="1735" w:type="dxa"/>
            <w:vMerge/>
          </w:tcPr>
          <w:p w14:paraId="7EFB489F" w14:textId="77777777" w:rsidR="003E3EE4" w:rsidRPr="003E3EE4" w:rsidRDefault="003E3EE4" w:rsidP="003E3EE4">
            <w:pPr>
              <w:pStyle w:val="ConsPlusNormal"/>
              <w:rPr>
                <w:rFonts w:ascii="Times New Roman" w:hAnsi="Times New Roman" w:cs="Times New Roman"/>
                <w:sz w:val="28"/>
                <w:szCs w:val="28"/>
              </w:rPr>
            </w:pPr>
          </w:p>
        </w:tc>
        <w:tc>
          <w:tcPr>
            <w:tcW w:w="1043" w:type="dxa"/>
            <w:vMerge/>
          </w:tcPr>
          <w:p w14:paraId="091E09C1"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511071A0" w14:textId="77777777">
        <w:tblPrEx>
          <w:tblBorders>
            <w:left w:val="single" w:sz="4" w:space="0" w:color="auto"/>
            <w:right w:val="single" w:sz="4" w:space="0" w:color="auto"/>
            <w:insideH w:val="single" w:sz="4" w:space="0" w:color="auto"/>
          </w:tblBorders>
        </w:tblPrEx>
        <w:tc>
          <w:tcPr>
            <w:tcW w:w="566" w:type="dxa"/>
            <w:vAlign w:val="center"/>
          </w:tcPr>
          <w:p w14:paraId="344CB890"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lastRenderedPageBreak/>
              <w:t>1</w:t>
            </w:r>
          </w:p>
        </w:tc>
        <w:tc>
          <w:tcPr>
            <w:tcW w:w="850" w:type="dxa"/>
            <w:vAlign w:val="center"/>
          </w:tcPr>
          <w:p w14:paraId="7E512E9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2</w:t>
            </w:r>
          </w:p>
        </w:tc>
        <w:tc>
          <w:tcPr>
            <w:tcW w:w="1362" w:type="dxa"/>
            <w:vAlign w:val="center"/>
          </w:tcPr>
          <w:p w14:paraId="0B76807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3</w:t>
            </w:r>
          </w:p>
        </w:tc>
        <w:tc>
          <w:tcPr>
            <w:tcW w:w="1019" w:type="dxa"/>
            <w:vAlign w:val="center"/>
          </w:tcPr>
          <w:p w14:paraId="5C2A8AD3"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4</w:t>
            </w:r>
          </w:p>
        </w:tc>
        <w:tc>
          <w:tcPr>
            <w:tcW w:w="1247" w:type="dxa"/>
            <w:vAlign w:val="center"/>
          </w:tcPr>
          <w:p w14:paraId="671CB2B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5</w:t>
            </w:r>
          </w:p>
        </w:tc>
        <w:tc>
          <w:tcPr>
            <w:tcW w:w="1474" w:type="dxa"/>
            <w:vAlign w:val="center"/>
          </w:tcPr>
          <w:p w14:paraId="53001BAC"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6</w:t>
            </w:r>
          </w:p>
        </w:tc>
        <w:tc>
          <w:tcPr>
            <w:tcW w:w="1020" w:type="dxa"/>
            <w:vAlign w:val="center"/>
          </w:tcPr>
          <w:p w14:paraId="46327A7D"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7</w:t>
            </w:r>
          </w:p>
        </w:tc>
        <w:tc>
          <w:tcPr>
            <w:tcW w:w="1020" w:type="dxa"/>
            <w:vAlign w:val="center"/>
          </w:tcPr>
          <w:p w14:paraId="1991E18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8</w:t>
            </w:r>
          </w:p>
        </w:tc>
        <w:tc>
          <w:tcPr>
            <w:tcW w:w="794" w:type="dxa"/>
            <w:vAlign w:val="center"/>
          </w:tcPr>
          <w:p w14:paraId="0C86DDC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9</w:t>
            </w:r>
          </w:p>
        </w:tc>
        <w:tc>
          <w:tcPr>
            <w:tcW w:w="850" w:type="dxa"/>
            <w:vAlign w:val="center"/>
          </w:tcPr>
          <w:p w14:paraId="2CF5EE6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10</w:t>
            </w:r>
          </w:p>
        </w:tc>
        <w:tc>
          <w:tcPr>
            <w:tcW w:w="646" w:type="dxa"/>
            <w:vAlign w:val="center"/>
          </w:tcPr>
          <w:p w14:paraId="71C8F070"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11</w:t>
            </w:r>
          </w:p>
        </w:tc>
        <w:tc>
          <w:tcPr>
            <w:tcW w:w="1735" w:type="dxa"/>
            <w:vAlign w:val="center"/>
          </w:tcPr>
          <w:p w14:paraId="44BCE9E7"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12</w:t>
            </w:r>
          </w:p>
        </w:tc>
        <w:tc>
          <w:tcPr>
            <w:tcW w:w="1043" w:type="dxa"/>
            <w:vAlign w:val="center"/>
          </w:tcPr>
          <w:p w14:paraId="1E662E7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13</w:t>
            </w:r>
          </w:p>
        </w:tc>
      </w:tr>
      <w:tr w:rsidR="003E3EE4" w:rsidRPr="003E3EE4" w14:paraId="299E256E" w14:textId="77777777">
        <w:tblPrEx>
          <w:tblBorders>
            <w:left w:val="single" w:sz="4" w:space="0" w:color="auto"/>
            <w:right w:val="single" w:sz="4" w:space="0" w:color="auto"/>
            <w:insideH w:val="single" w:sz="4" w:space="0" w:color="auto"/>
          </w:tblBorders>
        </w:tblPrEx>
        <w:tc>
          <w:tcPr>
            <w:tcW w:w="566" w:type="dxa"/>
            <w:vAlign w:val="center"/>
          </w:tcPr>
          <w:p w14:paraId="7EE3F963"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0AE34B3F" w14:textId="77777777" w:rsidR="003E3EE4" w:rsidRPr="003E3EE4" w:rsidRDefault="003E3EE4" w:rsidP="003E3EE4">
            <w:pPr>
              <w:pStyle w:val="ConsPlusNormal"/>
              <w:rPr>
                <w:rFonts w:ascii="Times New Roman" w:hAnsi="Times New Roman" w:cs="Times New Roman"/>
                <w:sz w:val="28"/>
                <w:szCs w:val="28"/>
              </w:rPr>
            </w:pPr>
          </w:p>
        </w:tc>
        <w:tc>
          <w:tcPr>
            <w:tcW w:w="1362" w:type="dxa"/>
            <w:vAlign w:val="center"/>
          </w:tcPr>
          <w:p w14:paraId="4CCA622A"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0B24BA88" w14:textId="77777777" w:rsidR="003E3EE4" w:rsidRPr="003E3EE4" w:rsidRDefault="003E3EE4" w:rsidP="003E3EE4">
            <w:pPr>
              <w:pStyle w:val="ConsPlusNormal"/>
              <w:rPr>
                <w:rFonts w:ascii="Times New Roman" w:hAnsi="Times New Roman" w:cs="Times New Roman"/>
                <w:sz w:val="28"/>
                <w:szCs w:val="28"/>
              </w:rPr>
            </w:pPr>
          </w:p>
        </w:tc>
        <w:tc>
          <w:tcPr>
            <w:tcW w:w="1247" w:type="dxa"/>
            <w:vAlign w:val="center"/>
          </w:tcPr>
          <w:p w14:paraId="1B149BA5" w14:textId="77777777" w:rsidR="003E3EE4" w:rsidRPr="003E3EE4" w:rsidRDefault="003E3EE4" w:rsidP="003E3EE4">
            <w:pPr>
              <w:pStyle w:val="ConsPlusNormal"/>
              <w:rPr>
                <w:rFonts w:ascii="Times New Roman" w:hAnsi="Times New Roman" w:cs="Times New Roman"/>
                <w:sz w:val="28"/>
                <w:szCs w:val="28"/>
              </w:rPr>
            </w:pPr>
          </w:p>
        </w:tc>
        <w:tc>
          <w:tcPr>
            <w:tcW w:w="1474" w:type="dxa"/>
            <w:vAlign w:val="center"/>
          </w:tcPr>
          <w:p w14:paraId="00A3D12D"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279C62B9"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35840F9A" w14:textId="77777777" w:rsidR="003E3EE4" w:rsidRPr="003E3EE4" w:rsidRDefault="003E3EE4" w:rsidP="003E3EE4">
            <w:pPr>
              <w:pStyle w:val="ConsPlusNormal"/>
              <w:rPr>
                <w:rFonts w:ascii="Times New Roman" w:hAnsi="Times New Roman" w:cs="Times New Roman"/>
                <w:sz w:val="28"/>
                <w:szCs w:val="28"/>
              </w:rPr>
            </w:pPr>
          </w:p>
        </w:tc>
        <w:tc>
          <w:tcPr>
            <w:tcW w:w="794" w:type="dxa"/>
            <w:vAlign w:val="center"/>
          </w:tcPr>
          <w:p w14:paraId="2657555C"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7F727473" w14:textId="77777777" w:rsidR="003E3EE4" w:rsidRPr="003E3EE4" w:rsidRDefault="003E3EE4" w:rsidP="003E3EE4">
            <w:pPr>
              <w:pStyle w:val="ConsPlusNormal"/>
              <w:rPr>
                <w:rFonts w:ascii="Times New Roman" w:hAnsi="Times New Roman" w:cs="Times New Roman"/>
                <w:sz w:val="28"/>
                <w:szCs w:val="28"/>
              </w:rPr>
            </w:pPr>
          </w:p>
        </w:tc>
        <w:tc>
          <w:tcPr>
            <w:tcW w:w="646" w:type="dxa"/>
            <w:vAlign w:val="center"/>
          </w:tcPr>
          <w:p w14:paraId="64EA4B4C" w14:textId="77777777" w:rsidR="003E3EE4" w:rsidRPr="003E3EE4" w:rsidRDefault="003E3EE4" w:rsidP="003E3EE4">
            <w:pPr>
              <w:pStyle w:val="ConsPlusNormal"/>
              <w:rPr>
                <w:rFonts w:ascii="Times New Roman" w:hAnsi="Times New Roman" w:cs="Times New Roman"/>
                <w:sz w:val="28"/>
                <w:szCs w:val="28"/>
              </w:rPr>
            </w:pPr>
          </w:p>
        </w:tc>
        <w:tc>
          <w:tcPr>
            <w:tcW w:w="1735" w:type="dxa"/>
            <w:vAlign w:val="center"/>
          </w:tcPr>
          <w:p w14:paraId="0B5795A1" w14:textId="77777777" w:rsidR="003E3EE4" w:rsidRPr="003E3EE4" w:rsidRDefault="003E3EE4" w:rsidP="003E3EE4">
            <w:pPr>
              <w:pStyle w:val="ConsPlusNormal"/>
              <w:rPr>
                <w:rFonts w:ascii="Times New Roman" w:hAnsi="Times New Roman" w:cs="Times New Roman"/>
                <w:sz w:val="28"/>
                <w:szCs w:val="28"/>
              </w:rPr>
            </w:pPr>
          </w:p>
        </w:tc>
        <w:tc>
          <w:tcPr>
            <w:tcW w:w="1043" w:type="dxa"/>
            <w:vAlign w:val="center"/>
          </w:tcPr>
          <w:p w14:paraId="3A13EDFF"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41BBF4BA" w14:textId="77777777">
        <w:tblPrEx>
          <w:tblBorders>
            <w:left w:val="single" w:sz="4" w:space="0" w:color="auto"/>
            <w:right w:val="single" w:sz="4" w:space="0" w:color="auto"/>
            <w:insideH w:val="single" w:sz="4" w:space="0" w:color="auto"/>
          </w:tblBorders>
        </w:tblPrEx>
        <w:tc>
          <w:tcPr>
            <w:tcW w:w="566" w:type="dxa"/>
            <w:vAlign w:val="center"/>
          </w:tcPr>
          <w:p w14:paraId="330EC5FA"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58CDD991" w14:textId="77777777" w:rsidR="003E3EE4" w:rsidRPr="003E3EE4" w:rsidRDefault="003E3EE4" w:rsidP="003E3EE4">
            <w:pPr>
              <w:pStyle w:val="ConsPlusNormal"/>
              <w:rPr>
                <w:rFonts w:ascii="Times New Roman" w:hAnsi="Times New Roman" w:cs="Times New Roman"/>
                <w:sz w:val="28"/>
                <w:szCs w:val="28"/>
              </w:rPr>
            </w:pPr>
          </w:p>
        </w:tc>
        <w:tc>
          <w:tcPr>
            <w:tcW w:w="1362" w:type="dxa"/>
            <w:vAlign w:val="center"/>
          </w:tcPr>
          <w:p w14:paraId="6C207008"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3376D360" w14:textId="77777777" w:rsidR="003E3EE4" w:rsidRPr="003E3EE4" w:rsidRDefault="003E3EE4" w:rsidP="003E3EE4">
            <w:pPr>
              <w:pStyle w:val="ConsPlusNormal"/>
              <w:rPr>
                <w:rFonts w:ascii="Times New Roman" w:hAnsi="Times New Roman" w:cs="Times New Roman"/>
                <w:sz w:val="28"/>
                <w:szCs w:val="28"/>
              </w:rPr>
            </w:pPr>
          </w:p>
        </w:tc>
        <w:tc>
          <w:tcPr>
            <w:tcW w:w="1247" w:type="dxa"/>
            <w:vAlign w:val="center"/>
          </w:tcPr>
          <w:p w14:paraId="7097D613" w14:textId="77777777" w:rsidR="003E3EE4" w:rsidRPr="003E3EE4" w:rsidRDefault="003E3EE4" w:rsidP="003E3EE4">
            <w:pPr>
              <w:pStyle w:val="ConsPlusNormal"/>
              <w:rPr>
                <w:rFonts w:ascii="Times New Roman" w:hAnsi="Times New Roman" w:cs="Times New Roman"/>
                <w:sz w:val="28"/>
                <w:szCs w:val="28"/>
              </w:rPr>
            </w:pPr>
          </w:p>
        </w:tc>
        <w:tc>
          <w:tcPr>
            <w:tcW w:w="1474" w:type="dxa"/>
            <w:vAlign w:val="center"/>
          </w:tcPr>
          <w:p w14:paraId="0BFC8CB1"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72AE2A74"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1E9FA146" w14:textId="77777777" w:rsidR="003E3EE4" w:rsidRPr="003E3EE4" w:rsidRDefault="003E3EE4" w:rsidP="003E3EE4">
            <w:pPr>
              <w:pStyle w:val="ConsPlusNormal"/>
              <w:rPr>
                <w:rFonts w:ascii="Times New Roman" w:hAnsi="Times New Roman" w:cs="Times New Roman"/>
                <w:sz w:val="28"/>
                <w:szCs w:val="28"/>
              </w:rPr>
            </w:pPr>
          </w:p>
        </w:tc>
        <w:tc>
          <w:tcPr>
            <w:tcW w:w="794" w:type="dxa"/>
            <w:vAlign w:val="center"/>
          </w:tcPr>
          <w:p w14:paraId="6CFABB17"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69E85831" w14:textId="77777777" w:rsidR="003E3EE4" w:rsidRPr="003E3EE4" w:rsidRDefault="003E3EE4" w:rsidP="003E3EE4">
            <w:pPr>
              <w:pStyle w:val="ConsPlusNormal"/>
              <w:rPr>
                <w:rFonts w:ascii="Times New Roman" w:hAnsi="Times New Roman" w:cs="Times New Roman"/>
                <w:sz w:val="28"/>
                <w:szCs w:val="28"/>
              </w:rPr>
            </w:pPr>
          </w:p>
        </w:tc>
        <w:tc>
          <w:tcPr>
            <w:tcW w:w="646" w:type="dxa"/>
            <w:vAlign w:val="center"/>
          </w:tcPr>
          <w:p w14:paraId="118C2CF1" w14:textId="77777777" w:rsidR="003E3EE4" w:rsidRPr="003E3EE4" w:rsidRDefault="003E3EE4" w:rsidP="003E3EE4">
            <w:pPr>
              <w:pStyle w:val="ConsPlusNormal"/>
              <w:rPr>
                <w:rFonts w:ascii="Times New Roman" w:hAnsi="Times New Roman" w:cs="Times New Roman"/>
                <w:sz w:val="28"/>
                <w:szCs w:val="28"/>
              </w:rPr>
            </w:pPr>
          </w:p>
        </w:tc>
        <w:tc>
          <w:tcPr>
            <w:tcW w:w="1735" w:type="dxa"/>
            <w:vAlign w:val="center"/>
          </w:tcPr>
          <w:p w14:paraId="49A4C48F" w14:textId="77777777" w:rsidR="003E3EE4" w:rsidRPr="003E3EE4" w:rsidRDefault="003E3EE4" w:rsidP="003E3EE4">
            <w:pPr>
              <w:pStyle w:val="ConsPlusNormal"/>
              <w:rPr>
                <w:rFonts w:ascii="Times New Roman" w:hAnsi="Times New Roman" w:cs="Times New Roman"/>
                <w:sz w:val="28"/>
                <w:szCs w:val="28"/>
              </w:rPr>
            </w:pPr>
          </w:p>
        </w:tc>
        <w:tc>
          <w:tcPr>
            <w:tcW w:w="1043" w:type="dxa"/>
            <w:vAlign w:val="center"/>
          </w:tcPr>
          <w:p w14:paraId="511585D4"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3F0BAD25" w14:textId="77777777">
        <w:tblPrEx>
          <w:tblBorders>
            <w:left w:val="single" w:sz="4" w:space="0" w:color="auto"/>
            <w:right w:val="single" w:sz="4" w:space="0" w:color="auto"/>
            <w:insideH w:val="single" w:sz="4" w:space="0" w:color="auto"/>
          </w:tblBorders>
        </w:tblPrEx>
        <w:tc>
          <w:tcPr>
            <w:tcW w:w="566" w:type="dxa"/>
            <w:vAlign w:val="center"/>
          </w:tcPr>
          <w:p w14:paraId="62A84DD3"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6DBE71B7" w14:textId="77777777" w:rsidR="003E3EE4" w:rsidRPr="003E3EE4" w:rsidRDefault="003E3EE4" w:rsidP="003E3EE4">
            <w:pPr>
              <w:pStyle w:val="ConsPlusNormal"/>
              <w:rPr>
                <w:rFonts w:ascii="Times New Roman" w:hAnsi="Times New Roman" w:cs="Times New Roman"/>
                <w:sz w:val="28"/>
                <w:szCs w:val="28"/>
              </w:rPr>
            </w:pPr>
          </w:p>
        </w:tc>
        <w:tc>
          <w:tcPr>
            <w:tcW w:w="1362" w:type="dxa"/>
            <w:vAlign w:val="center"/>
          </w:tcPr>
          <w:p w14:paraId="3E1D600F"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07FAEC8E" w14:textId="77777777" w:rsidR="003E3EE4" w:rsidRPr="003E3EE4" w:rsidRDefault="003E3EE4" w:rsidP="003E3EE4">
            <w:pPr>
              <w:pStyle w:val="ConsPlusNormal"/>
              <w:rPr>
                <w:rFonts w:ascii="Times New Roman" w:hAnsi="Times New Roman" w:cs="Times New Roman"/>
                <w:sz w:val="28"/>
                <w:szCs w:val="28"/>
              </w:rPr>
            </w:pPr>
          </w:p>
        </w:tc>
        <w:tc>
          <w:tcPr>
            <w:tcW w:w="1247" w:type="dxa"/>
            <w:vAlign w:val="center"/>
          </w:tcPr>
          <w:p w14:paraId="4051B38A" w14:textId="77777777" w:rsidR="003E3EE4" w:rsidRPr="003E3EE4" w:rsidRDefault="003E3EE4" w:rsidP="003E3EE4">
            <w:pPr>
              <w:pStyle w:val="ConsPlusNormal"/>
              <w:rPr>
                <w:rFonts w:ascii="Times New Roman" w:hAnsi="Times New Roman" w:cs="Times New Roman"/>
                <w:sz w:val="28"/>
                <w:szCs w:val="28"/>
              </w:rPr>
            </w:pPr>
          </w:p>
        </w:tc>
        <w:tc>
          <w:tcPr>
            <w:tcW w:w="1474" w:type="dxa"/>
            <w:vAlign w:val="center"/>
          </w:tcPr>
          <w:p w14:paraId="19619891"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5026A793"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75F79561" w14:textId="77777777" w:rsidR="003E3EE4" w:rsidRPr="003E3EE4" w:rsidRDefault="003E3EE4" w:rsidP="003E3EE4">
            <w:pPr>
              <w:pStyle w:val="ConsPlusNormal"/>
              <w:rPr>
                <w:rFonts w:ascii="Times New Roman" w:hAnsi="Times New Roman" w:cs="Times New Roman"/>
                <w:sz w:val="28"/>
                <w:szCs w:val="28"/>
              </w:rPr>
            </w:pPr>
          </w:p>
        </w:tc>
        <w:tc>
          <w:tcPr>
            <w:tcW w:w="794" w:type="dxa"/>
            <w:vAlign w:val="center"/>
          </w:tcPr>
          <w:p w14:paraId="362AA86B"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1D8BE638" w14:textId="77777777" w:rsidR="003E3EE4" w:rsidRPr="003E3EE4" w:rsidRDefault="003E3EE4" w:rsidP="003E3EE4">
            <w:pPr>
              <w:pStyle w:val="ConsPlusNormal"/>
              <w:rPr>
                <w:rFonts w:ascii="Times New Roman" w:hAnsi="Times New Roman" w:cs="Times New Roman"/>
                <w:sz w:val="28"/>
                <w:szCs w:val="28"/>
              </w:rPr>
            </w:pPr>
          </w:p>
        </w:tc>
        <w:tc>
          <w:tcPr>
            <w:tcW w:w="646" w:type="dxa"/>
            <w:vAlign w:val="center"/>
          </w:tcPr>
          <w:p w14:paraId="1B0BA18D" w14:textId="77777777" w:rsidR="003E3EE4" w:rsidRPr="003E3EE4" w:rsidRDefault="003E3EE4" w:rsidP="003E3EE4">
            <w:pPr>
              <w:pStyle w:val="ConsPlusNormal"/>
              <w:rPr>
                <w:rFonts w:ascii="Times New Roman" w:hAnsi="Times New Roman" w:cs="Times New Roman"/>
                <w:sz w:val="28"/>
                <w:szCs w:val="28"/>
              </w:rPr>
            </w:pPr>
          </w:p>
        </w:tc>
        <w:tc>
          <w:tcPr>
            <w:tcW w:w="1735" w:type="dxa"/>
            <w:vAlign w:val="center"/>
          </w:tcPr>
          <w:p w14:paraId="28416256" w14:textId="77777777" w:rsidR="003E3EE4" w:rsidRPr="003E3EE4" w:rsidRDefault="003E3EE4" w:rsidP="003E3EE4">
            <w:pPr>
              <w:pStyle w:val="ConsPlusNormal"/>
              <w:rPr>
                <w:rFonts w:ascii="Times New Roman" w:hAnsi="Times New Roman" w:cs="Times New Roman"/>
                <w:sz w:val="28"/>
                <w:szCs w:val="28"/>
              </w:rPr>
            </w:pPr>
          </w:p>
        </w:tc>
        <w:tc>
          <w:tcPr>
            <w:tcW w:w="1043" w:type="dxa"/>
            <w:vAlign w:val="center"/>
          </w:tcPr>
          <w:p w14:paraId="6F6634FC" w14:textId="77777777" w:rsidR="003E3EE4" w:rsidRPr="003E3EE4" w:rsidRDefault="003E3EE4" w:rsidP="003E3EE4">
            <w:pPr>
              <w:pStyle w:val="ConsPlusNormal"/>
              <w:rPr>
                <w:rFonts w:ascii="Times New Roman" w:hAnsi="Times New Roman" w:cs="Times New Roman"/>
                <w:sz w:val="28"/>
                <w:szCs w:val="28"/>
              </w:rPr>
            </w:pPr>
          </w:p>
        </w:tc>
      </w:tr>
    </w:tbl>
    <w:p w14:paraId="3DFE3930" w14:textId="77777777" w:rsidR="003E3EE4" w:rsidRPr="003E3EE4" w:rsidRDefault="003E3EE4" w:rsidP="003E3EE4">
      <w:pPr>
        <w:pStyle w:val="ConsPlusNormal"/>
        <w:jc w:val="both"/>
        <w:rPr>
          <w:rFonts w:ascii="Times New Roman" w:hAnsi="Times New Roman" w:cs="Times New Roman"/>
          <w:sz w:val="28"/>
          <w:szCs w:val="28"/>
        </w:rPr>
      </w:pPr>
    </w:p>
    <w:p w14:paraId="5CE4AA9F" w14:textId="77777777" w:rsidR="003E3EE4" w:rsidRPr="003E3EE4" w:rsidRDefault="003E3EE4" w:rsidP="003E3EE4">
      <w:pPr>
        <w:pStyle w:val="ConsPlusNormal"/>
        <w:jc w:val="both"/>
        <w:rPr>
          <w:rFonts w:ascii="Times New Roman" w:hAnsi="Times New Roman" w:cs="Times New Roman"/>
          <w:sz w:val="28"/>
          <w:szCs w:val="28"/>
        </w:rPr>
      </w:pPr>
    </w:p>
    <w:p w14:paraId="4B727AD7" w14:textId="77777777" w:rsidR="003E3EE4" w:rsidRPr="003E3EE4" w:rsidRDefault="003E3EE4" w:rsidP="003E3EE4">
      <w:pPr>
        <w:pStyle w:val="ConsPlusNormal"/>
        <w:pBdr>
          <w:bottom w:val="single" w:sz="6" w:space="0" w:color="auto"/>
        </w:pBdr>
        <w:jc w:val="both"/>
        <w:rPr>
          <w:rFonts w:ascii="Times New Roman" w:hAnsi="Times New Roman" w:cs="Times New Roman"/>
          <w:sz w:val="28"/>
          <w:szCs w:val="28"/>
        </w:rPr>
      </w:pPr>
    </w:p>
    <w:p w14:paraId="5DDF3BA0" w14:textId="77777777" w:rsidR="00E424F3" w:rsidRPr="003E3EE4" w:rsidRDefault="00E424F3" w:rsidP="003E3EE4">
      <w:pPr>
        <w:spacing w:after="0" w:line="240" w:lineRule="auto"/>
        <w:rPr>
          <w:rFonts w:ascii="Times New Roman" w:hAnsi="Times New Roman" w:cs="Times New Roman"/>
          <w:sz w:val="28"/>
          <w:szCs w:val="28"/>
        </w:rPr>
      </w:pPr>
    </w:p>
    <w:sectPr w:rsidR="00E424F3" w:rsidRPr="003E3EE4" w:rsidSect="003E3EE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E4"/>
    <w:rsid w:val="003E3EE4"/>
    <w:rsid w:val="00723F85"/>
    <w:rsid w:val="00817537"/>
    <w:rsid w:val="00C7667E"/>
    <w:rsid w:val="00E42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5C65"/>
  <w15:chartTrackingRefBased/>
  <w15:docId w15:val="{902D3D20-1345-4BBC-9E63-2CFD0A28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3E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E3E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E3E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E3E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3E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3E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E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E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E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E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E3E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E3E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E3E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3E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3E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3EE4"/>
    <w:rPr>
      <w:rFonts w:eastAsiaTheme="majorEastAsia" w:cstheme="majorBidi"/>
      <w:color w:val="595959" w:themeColor="text1" w:themeTint="A6"/>
    </w:rPr>
  </w:style>
  <w:style w:type="character" w:customStyle="1" w:styleId="80">
    <w:name w:val="Заголовок 8 Знак"/>
    <w:basedOn w:val="a0"/>
    <w:link w:val="8"/>
    <w:uiPriority w:val="9"/>
    <w:semiHidden/>
    <w:rsid w:val="003E3E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3EE4"/>
    <w:rPr>
      <w:rFonts w:eastAsiaTheme="majorEastAsia" w:cstheme="majorBidi"/>
      <w:color w:val="272727" w:themeColor="text1" w:themeTint="D8"/>
    </w:rPr>
  </w:style>
  <w:style w:type="paragraph" w:styleId="a3">
    <w:name w:val="Title"/>
    <w:basedOn w:val="a"/>
    <w:next w:val="a"/>
    <w:link w:val="a4"/>
    <w:uiPriority w:val="10"/>
    <w:qFormat/>
    <w:rsid w:val="003E3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3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E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3E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3EE4"/>
    <w:pPr>
      <w:spacing w:before="160"/>
      <w:jc w:val="center"/>
    </w:pPr>
    <w:rPr>
      <w:i/>
      <w:iCs/>
      <w:color w:val="404040" w:themeColor="text1" w:themeTint="BF"/>
    </w:rPr>
  </w:style>
  <w:style w:type="character" w:customStyle="1" w:styleId="22">
    <w:name w:val="Цитата 2 Знак"/>
    <w:basedOn w:val="a0"/>
    <w:link w:val="21"/>
    <w:uiPriority w:val="29"/>
    <w:rsid w:val="003E3EE4"/>
    <w:rPr>
      <w:i/>
      <w:iCs/>
      <w:color w:val="404040" w:themeColor="text1" w:themeTint="BF"/>
    </w:rPr>
  </w:style>
  <w:style w:type="paragraph" w:styleId="a7">
    <w:name w:val="List Paragraph"/>
    <w:basedOn w:val="a"/>
    <w:uiPriority w:val="34"/>
    <w:qFormat/>
    <w:rsid w:val="003E3EE4"/>
    <w:pPr>
      <w:ind w:left="720"/>
      <w:contextualSpacing/>
    </w:pPr>
  </w:style>
  <w:style w:type="character" w:styleId="a8">
    <w:name w:val="Intense Emphasis"/>
    <w:basedOn w:val="a0"/>
    <w:uiPriority w:val="21"/>
    <w:qFormat/>
    <w:rsid w:val="003E3EE4"/>
    <w:rPr>
      <w:i/>
      <w:iCs/>
      <w:color w:val="2F5496" w:themeColor="accent1" w:themeShade="BF"/>
    </w:rPr>
  </w:style>
  <w:style w:type="paragraph" w:styleId="a9">
    <w:name w:val="Intense Quote"/>
    <w:basedOn w:val="a"/>
    <w:next w:val="a"/>
    <w:link w:val="aa"/>
    <w:uiPriority w:val="30"/>
    <w:qFormat/>
    <w:rsid w:val="003E3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E3EE4"/>
    <w:rPr>
      <w:i/>
      <w:iCs/>
      <w:color w:val="2F5496" w:themeColor="accent1" w:themeShade="BF"/>
    </w:rPr>
  </w:style>
  <w:style w:type="character" w:styleId="ab">
    <w:name w:val="Intense Reference"/>
    <w:basedOn w:val="a0"/>
    <w:uiPriority w:val="32"/>
    <w:qFormat/>
    <w:rsid w:val="003E3EE4"/>
    <w:rPr>
      <w:b/>
      <w:bCs/>
      <w:smallCaps/>
      <w:color w:val="2F5496" w:themeColor="accent1" w:themeShade="BF"/>
      <w:spacing w:val="5"/>
    </w:rPr>
  </w:style>
  <w:style w:type="paragraph" w:customStyle="1" w:styleId="ConsPlusNormal">
    <w:name w:val="ConsPlusNormal"/>
    <w:rsid w:val="003E3EE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3E3EE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3E3EE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92038" TargetMode="External"/><Relationship Id="rId13" Type="http://schemas.openxmlformats.org/officeDocument/2006/relationships/hyperlink" Target="https://login.consultant.ru/link/?req=doc&amp;base=RZB&amp;n=392038" TargetMode="External"/><Relationship Id="rId18" Type="http://schemas.openxmlformats.org/officeDocument/2006/relationships/hyperlink" Target="www.pravo.gov.ru"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16671" TargetMode="External"/><Relationship Id="rId12" Type="http://schemas.openxmlformats.org/officeDocument/2006/relationships/hyperlink" Target="https://login.consultant.ru/link/?req=doc&amp;base=RZB&amp;n=389932&amp;dst=162" TargetMode="External"/><Relationship Id="rId17" Type="http://schemas.openxmlformats.org/officeDocument/2006/relationships/hyperlink" Target="https://login.consultant.ru/link/?req=doc&amp;base=RZB&amp;n=389932&amp;dst=162" TargetMode="External"/><Relationship Id="rId2" Type="http://schemas.openxmlformats.org/officeDocument/2006/relationships/settings" Target="settings.xml"/><Relationship Id="rId16" Type="http://schemas.openxmlformats.org/officeDocument/2006/relationships/hyperlink" Target="https://login.consultant.ru/link/?req=doc&amp;base=RZB&amp;n=389932&amp;dst=16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392038" TargetMode="External"/><Relationship Id="rId11" Type="http://schemas.openxmlformats.org/officeDocument/2006/relationships/hyperlink" Target="https://login.consultant.ru/link/?req=doc&amp;base=RZB&amp;n=389932&amp;dst=162" TargetMode="External"/><Relationship Id="rId5" Type="http://schemas.openxmlformats.org/officeDocument/2006/relationships/hyperlink" Target="https://login.consultant.ru/link/?req=doc&amp;base=RLAW154&amp;n=95535&amp;dst=100100" TargetMode="External"/><Relationship Id="rId15" Type="http://schemas.openxmlformats.org/officeDocument/2006/relationships/hyperlink" Target="https://login.consultant.ru/link/?req=doc&amp;base=RZB&amp;n=389932&amp;dst=162" TargetMode="External"/><Relationship Id="rId10" Type="http://schemas.openxmlformats.org/officeDocument/2006/relationships/hyperlink" Target="https://login.consultant.ru/link/?req=doc&amp;base=RZB&amp;n=389932&amp;dst=162" TargetMode="External"/><Relationship Id="rId19" Type="http://schemas.openxmlformats.org/officeDocument/2006/relationships/fontTable" Target="fontTable.xml"/><Relationship Id="rId4" Type="http://schemas.openxmlformats.org/officeDocument/2006/relationships/hyperlink" Target="https://login.consultant.ru/link/?req=doc&amp;base=RZB&amp;n=389932&amp;dst=160" TargetMode="External"/><Relationship Id="rId9" Type="http://schemas.openxmlformats.org/officeDocument/2006/relationships/hyperlink" Target="https://login.consultant.ru/link/?req=doc&amp;base=LAW&amp;n=116671" TargetMode="External"/><Relationship Id="rId14" Type="http://schemas.openxmlformats.org/officeDocument/2006/relationships/hyperlink" Target="https://login.consultant.ru/link/?req=doc&amp;base=LAW&amp;n=116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2026-01-16T14:00:00Z</dcterms:created>
  <dcterms:modified xsi:type="dcterms:W3CDTF">2026-01-16T14:02:00Z</dcterms:modified>
</cp:coreProperties>
</file>